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Sävsjö kommunfullmäktige</w:t>
      </w:r>
    </w:p>
    <w:p>
      <w:pPr>
        <w:pStyle w:val="Heading1"/>
      </w:pPr>
      <w:r>
        <w:t xml:space="preserve">Satsning på tidig lästräning i Sävsjö grundskolor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Sävsjö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Sävsjö kommuns meritvärde årskurs 9 ligger på 225 poäng enligt Kolada 2024, under rikssnittet. Läsförståelsen bland elever i årskurs 3 har sjunkit de senaste fem åren. Tidiga insatser är avgörande för att höja kunskapsresultaten och ge alla elever likvärdiga förutsättningar.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Sävsjö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strukturerad läsundervisning med extra stöd från årskurs 1 i samtliga grundskolor.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anställa två extra speciallärare med inriktning på läs- och skrivutveckling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obligatoriska läsdiagnoser tre gånger per år från förskoleklass.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1,2 mnkr årligen i budgeten för läsfrämjande insatser.</w:t>
      </w:r>
    </w:p>
    <w:p>
      <w:pPr>
        <w:spacing w:before="360"/>
      </w:pPr>
    </w:p>
    <w:p>
      <w:r>
        <w:t xml:space="preserve">Sävsjö,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Sävsjö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2026-07-14T05:15:34.948Z</dcterms:created>
  <dcterms:modified xsi:type="dcterms:W3CDTF">2026-07-14T05:15:34.948Z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